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46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4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ZHAN HUIYU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RM 3008, 30/F, TWO EXCHANGE SQUARE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CONNAUGHT PLACE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 K3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product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Ownership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66,774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Right to acquire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1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18,219,330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represents three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20" w:firstLine="5"/>
        <w:spacing w:after="0" w:line="244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reported securities represent shares to be received in connection with the merger transaction involving Shenzhen Yiqi Culture Co., Ltd. ("Letsvan merger deal"). A total of 18,219,330 Class A ordinary shares will be issued to the reporting person or his designated entity (referred to as the "Reporting Person") upon the conditions of the Letsvan merger deal.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00" w:firstLine="5"/>
        <w:spacing w:after="0" w:line="236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described in footnote (2),the above mentioned shares are subject to the following restrictions, and the closing has not yet occurred as certain conditions remain unsatisfied. First Tranche: Within ten (10)business days after the closing date, 10,931,598 shares (60% of the aggregate) will be issued to the Reporting Person, subject to a one-year lock-up period. Second Tranche: Within ten (10)business days after the closing date, 3,643,866 shares (20% of the aggregate) will be issued to the Reporting Person, subject to a continued employment requirement and a four-year lock-up period, with one-fourth (1/4) of the shares vesting annually. Final Tranche: Within ten (10) business days following full vesting of the Second Tranche shares, the remaining 3,643,866 shares (the final 20% of the aggregate) will be issued to the Reporting Person, subject to a four-year lock-up period, with one-fourth (1/4) vesting annually.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HUIYU ZHAN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702" TargetMode="External"/><Relationship Id="rId11" Type="http://schemas.openxmlformats.org/officeDocument/2006/relationships/hyperlink" Target="http://www.sec.gov/cgi-bin/browse-edgar?action=getcompany&amp;CIK=000193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2026-03-27T05:54:50Z</dcterms:created>
  <dcterms:modified xsi:type="dcterms:W3CDTF">2026-03-27T05:54:50Z</dcterms:modified>
</cp:coreProperties>
</file>