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Commission File Number: 001-41590</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HERE GROUP LIMITED</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RM 3008, 30/F</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Two Exchange Square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 Connaught Place, Central</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Hong Kong</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+852 2988 8279</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7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tcPr>
          <w:p>
            <w:pPr>
              <w:spacing w:after="0"/>
              <w:rPr>
                <w:sz w:val="20"/>
                <w:szCs w:val="20"/>
                <w:color w:val="auto"/>
              </w:rPr>
            </w:pPr>
          </w:p>
        </w:tc>
        <w:tc>
          <w:tcPr>
            <w:tcW w:w="7780" w:type="dxa"/>
            <w:vAlign w:val="bottom"/>
            <w:gridSpan w:val="2"/>
          </w:tcPr>
          <w:p>
            <w:pPr>
              <w:ind w:left="3300"/>
              <w:spacing w:after="0"/>
              <w:rPr>
                <w:sz w:val="20"/>
                <w:szCs w:val="20"/>
                <w:color w:val="auto"/>
              </w:rPr>
            </w:pPr>
            <w:r>
              <w:rPr>
                <w:rFonts w:ascii="Times New Roman" w:cs="Times New Roman" w:eastAsia="Times New Roman" w:hAnsi="Times New Roman"/>
                <w:sz w:val="18"/>
                <w:szCs w:val="18"/>
                <w:b w:val="1"/>
                <w:bCs w:val="1"/>
                <w:color w:val="auto"/>
              </w:rPr>
              <w:t>HERE GROUP LIMITED</w:t>
            </w:r>
          </w:p>
        </w:tc>
      </w:tr>
      <w:tr>
        <w:trPr>
          <w:trHeight w:val="43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Date: June 5, 2026</w:t>
            </w: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Peng Li</w:t>
            </w:r>
          </w:p>
        </w:tc>
      </w:tr>
      <w:tr>
        <w:trPr>
          <w:trHeight w:val="198"/>
        </w:trPr>
        <w:tc>
          <w:tcPr>
            <w:tcW w:w="3460" w:type="dxa"/>
            <w:vAlign w:val="bottom"/>
          </w:tcPr>
          <w:p>
            <w:pPr>
              <w:spacing w:after="0"/>
              <w:rPr>
                <w:sz w:val="17"/>
                <w:szCs w:val="17"/>
                <w:color w:val="auto"/>
              </w:rPr>
            </w:pPr>
          </w:p>
        </w:tc>
        <w:tc>
          <w:tcPr>
            <w:tcW w:w="3860" w:type="dxa"/>
            <w:vAlign w:val="bottom"/>
          </w:tcPr>
          <w:p>
            <w:pPr>
              <w:ind w:left="330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Peng Li</w:t>
            </w:r>
          </w:p>
        </w:tc>
      </w:tr>
      <w:tr>
        <w:trPr>
          <w:trHeight w:val="234"/>
        </w:trPr>
        <w:tc>
          <w:tcPr>
            <w:tcW w:w="3460" w:type="dxa"/>
            <w:vAlign w:val="bottom"/>
          </w:tcPr>
          <w:p>
            <w:pPr>
              <w:spacing w:after="0"/>
              <w:rPr>
                <w:sz w:val="20"/>
                <w:szCs w:val="20"/>
                <w:color w:val="auto"/>
              </w:rPr>
            </w:pPr>
          </w:p>
        </w:tc>
        <w:tc>
          <w:tcPr>
            <w:tcW w:w="3860" w:type="dxa"/>
            <w:vAlign w:val="bottom"/>
          </w:tcPr>
          <w:p>
            <w:pPr>
              <w:ind w:left="330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655"/>
        </w:trPr>
        <w:tc>
          <w:tcPr>
            <w:tcW w:w="346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8"/>
                <w:szCs w:val="18"/>
                <w:color w:val="auto"/>
              </w:rPr>
              <w:t>1</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3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Exhibit 99.1</w:t>
      </w:r>
      <w:r>
        <w:rPr>
          <w:sz w:val="20"/>
          <w:szCs w:val="20"/>
          <w:color w:val="auto"/>
        </w:rPr>
        <w:tab/>
      </w:r>
      <w:r>
        <w:rPr>
          <w:rFonts w:ascii="Times New Roman" w:cs="Times New Roman" w:eastAsia="Times New Roman" w:hAnsi="Times New Roman"/>
          <w:sz w:val="17"/>
          <w:szCs w:val="17"/>
          <w:u w:val="single" w:color="auto"/>
          <w:color w:val="0000EE"/>
        </w:rPr>
        <w:t>Here Announces Unaudited Financial Results for the Third Quarter of Fiscal Year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Here Announces Unaudited Financial Results for the Third Quarter of Fiscal Year 2026</w:t>
      </w:r>
    </w:p>
    <w:p>
      <w:pPr>
        <w:spacing w:after="0" w:line="233"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18"/>
          <w:szCs w:val="18"/>
          <w:color w:val="auto"/>
        </w:rPr>
        <w:t>Beijing, June 5, 2026 /GLOBE NEWSWIRE/ - Here Group Limited (NASDAQ: HERE) (“Here” or the “Company”), an IP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-based pop toy company dedicated to creating beloved collectibles and trend-defining experiences, today announced its unaudited financial results for the third quarter of the fiscal year ending June 30, 2026 (the “third quarter of FY 2026”, which refers to the quarter from January 1, 2026 to March 31,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 for the Third Quarter of FY 2026</w:t>
      </w:r>
      <w:r>
        <w:rPr>
          <w:rFonts w:ascii="Times New Roman" w:cs="Times New Roman" w:eastAsia="Times New Roman" w:hAnsi="Times New Roman"/>
          <w:sz w:val="29"/>
          <w:szCs w:val="29"/>
          <w:color w:val="auto"/>
          <w:vertAlign w:val="superscript"/>
        </w:rPr>
        <w:t>2</w:t>
      </w:r>
    </w:p>
    <w:p>
      <w:pPr>
        <w:spacing w:after="0" w:line="131" w:lineRule="exact"/>
        <w:rPr>
          <w:sz w:val="20"/>
          <w:szCs w:val="20"/>
          <w:color w:val="auto"/>
        </w:rPr>
      </w:pPr>
    </w:p>
    <w:p>
      <w:pPr>
        <w:ind w:left="620" w:hanging="302"/>
        <w:spacing w:after="0" w:line="286"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for the third quarter of FY 2026 were RMB164.7 million (US$23.9 million), compared to RMB177.3 million in the second quarter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fiscal year ending June 30, 2026 (the “second quarter of FY 2026”).</w:t>
      </w:r>
    </w:p>
    <w:p>
      <w:pPr>
        <w:spacing w:after="0" w:line="154" w:lineRule="exact"/>
        <w:rPr>
          <w:rFonts w:ascii="Times New Roman" w:cs="Times New Roman" w:eastAsia="Times New Roman" w:hAnsi="Times New Roman"/>
          <w:sz w:val="18"/>
          <w:szCs w:val="18"/>
          <w:color w:val="auto"/>
        </w:rPr>
      </w:pPr>
    </w:p>
    <w:p>
      <w:pPr>
        <w:ind w:left="620" w:right="20" w:hanging="302"/>
        <w:spacing w:after="0" w:line="286" w:lineRule="auto"/>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for the third quarter of FY 2026 was RMB34.1 million (US$4.9 million), compared to RMB25.4 million in the second quarter of 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2026.</w:t>
      </w:r>
    </w:p>
    <w:p>
      <w:pPr>
        <w:spacing w:after="0" w:line="162" w:lineRule="exact"/>
        <w:rPr>
          <w:rFonts w:ascii="Times New Roman" w:cs="Times New Roman" w:eastAsia="Times New Roman" w:hAnsi="Times New Roman"/>
          <w:sz w:val="18"/>
          <w:szCs w:val="18"/>
          <w:color w:val="auto"/>
        </w:rPr>
      </w:pPr>
    </w:p>
    <w:p>
      <w:pPr>
        <w:ind w:left="620" w:hanging="302"/>
        <w:spacing w:after="0" w:line="188" w:lineRule="auto"/>
        <w:tabs>
          <w:tab w:leader="none" w:pos="62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Adjusted net loss</w:t>
      </w:r>
      <w:r>
        <w:rPr>
          <w:rFonts w:ascii="Times New Roman" w:cs="Times New Roman" w:eastAsia="Times New Roman" w:hAnsi="Times New Roman"/>
          <w:sz w:val="29"/>
          <w:szCs w:val="29"/>
          <w:color w:val="auto"/>
          <w:vertAlign w:val="superscript"/>
        </w:rPr>
        <w:t>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third quarter of FY 2026 was RMB22.9 million (US$3.3 million), compared to RMB16.1 million in the second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FY 2026.</w:t>
      </w:r>
    </w:p>
    <w:p>
      <w:pPr>
        <w:spacing w:after="0" w:line="198" w:lineRule="exact"/>
        <w:rPr>
          <w:rFonts w:ascii="Times New Roman" w:cs="Times New Roman" w:eastAsia="Times New Roman" w:hAnsi="Times New Roman"/>
          <w:sz w:val="36"/>
          <w:szCs w:val="36"/>
          <w:color w:val="auto"/>
          <w:vertAlign w:val="superscript"/>
        </w:rPr>
      </w:pPr>
    </w:p>
    <w:p>
      <w:pPr>
        <w:ind w:left="620" w:hanging="302"/>
        <w:spacing w:after="0"/>
        <w:tabs>
          <w:tab w:leader="none" w:pos="6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 total of 20 IPs as of March 31, 2026, including 12 proprietary IPs and 8 exclusive licensed IPs.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Mr. Peng Li, Chairman and Chief Executive Officer of Here, commented, “We delivered revenues of RMB164.7 million with improved gross margin this quarter, exceeding expectations despite seasonally softer conditions. Our strategic focus remains on IP momentum and user engagement as the fundamental drivers of sustainable growth. We have adjusted our product launch cadence and sales approach to align with market demand. Through disciplined execution, we are rolling out new IP products at a measured pace and opening additional self-operated stores to build the foundation for the planned accelerated expansion. We remain confident in our long-term competitive positioning and value creation for shareholders.”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Dong Xie, Chief Financial Officer, added, “Our quarterly results exceeded expectations on both revenue and gross margin. This quarter, we implemented strategic cost structure refinements that position us for enhanced margin performance in future periods. We maintain disciplined capital allocation and focus on building long-term financial health and operational efficiency. We are confident in our ability to navigate near-term headwinds and emerge as a stronger, more efficient organization positioned for long-term success as a leading global IP trend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Results for the Third Quarter of FY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Revenues were RMB164.7 million (US$23.9 million) in the third quarter of FY 2026, primarily generated from sales of the three flagship IPs – WAKUKU, SIINONO, and ZIYULI. The change compared to the second quarter of FY 2026 was primarily driven by the cadence of new product launches and the impact of the Chinese New Year holidays, which materially reduced effective working days and temporarily constrained supply chain and delivery capabilities.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7830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ind w:left="340" w:hanging="332"/>
        <w:spacing w:after="0"/>
        <w:tabs>
          <w:tab w:leader="none" w:pos="340" w:val="left"/>
        </w:tabs>
        <w:numPr>
          <w:ilvl w:val="0"/>
          <w:numId w:val="2"/>
        </w:numPr>
        <w:rPr>
          <w:rFonts w:ascii="Calibri" w:cs="Calibri" w:eastAsia="Calibri" w:hAnsi="Calibri"/>
          <w:sz w:val="15"/>
          <w:szCs w:val="15"/>
          <w:color w:val="auto"/>
        </w:rPr>
      </w:pPr>
      <w:r>
        <w:rPr>
          <w:rFonts w:ascii="Times New Roman" w:cs="Times New Roman" w:eastAsia="Times New Roman" w:hAnsi="Times New Roman"/>
          <w:sz w:val="18"/>
          <w:szCs w:val="18"/>
          <w:color w:val="auto"/>
        </w:rPr>
        <w:t>“IP” refers to the design of a single or a series of characters and the underlying intellectual property rights.</w:t>
      </w:r>
    </w:p>
    <w:p>
      <w:pPr>
        <w:spacing w:after="0" w:line="26" w:lineRule="exact"/>
        <w:rPr>
          <w:sz w:val="20"/>
          <w:szCs w:val="20"/>
          <w:color w:val="auto"/>
        </w:rPr>
      </w:pPr>
    </w:p>
    <w:p>
      <w:pPr>
        <w:jc w:val="both"/>
        <w:ind w:left="340" w:hanging="332"/>
        <w:spacing w:after="0" w:line="264" w:lineRule="auto"/>
        <w:tabs>
          <w:tab w:leader="none" w:pos="340" w:val="left"/>
        </w:tabs>
        <w:numPr>
          <w:ilvl w:val="0"/>
          <w:numId w:val="3"/>
        </w:numPr>
        <w:rPr>
          <w:rFonts w:ascii="Calibri" w:cs="Calibri" w:eastAsia="Calibri" w:hAnsi="Calibri"/>
          <w:sz w:val="14"/>
          <w:szCs w:val="14"/>
          <w:color w:val="auto"/>
        </w:rPr>
      </w:pPr>
      <w:r>
        <w:rPr>
          <w:rFonts w:ascii="Times New Roman" w:cs="Times New Roman" w:eastAsia="Times New Roman" w:hAnsi="Times New Roman"/>
          <w:sz w:val="17"/>
          <w:szCs w:val="17"/>
          <w:color w:val="auto"/>
        </w:rPr>
        <w:t>As previously reported, the Company completed the disposal of its Established Business (all the business operations established prior to the acquisition of Shenzhen Yiqi Culture Co., Ltd., including the individual online learning services business, consumer businesses and other businesses aside from the pop toy business) on September 30, 2025. As the disposal met the definition of discontinued operations in accordance with ASC 205-20, the related</w:t>
      </w:r>
    </w:p>
    <w:p>
      <w:pPr>
        <w:spacing w:after="0" w:line="2" w:lineRule="exact"/>
        <w:rPr>
          <w:sz w:val="20"/>
          <w:szCs w:val="20"/>
          <w:color w:val="auto"/>
        </w:rPr>
      </w:pPr>
    </w:p>
    <w:p>
      <w:pPr>
        <w:ind w:left="340"/>
        <w:spacing w:after="0" w:line="250" w:lineRule="auto"/>
        <w:rPr>
          <w:sz w:val="20"/>
          <w:szCs w:val="20"/>
          <w:color w:val="auto"/>
        </w:rPr>
      </w:pPr>
      <w:r>
        <w:rPr>
          <w:rFonts w:ascii="Times New Roman" w:cs="Times New Roman" w:eastAsia="Times New Roman" w:hAnsi="Times New Roman"/>
          <w:sz w:val="18"/>
          <w:szCs w:val="18"/>
          <w:color w:val="auto"/>
        </w:rPr>
        <w:t>assets and liabilities associated with discontinued operations in the prior year consolidated balance sheets were classified as assets/liabilities held for sale.</w:t>
      </w:r>
    </w:p>
    <w:p>
      <w:pPr>
        <w:spacing w:after="0" w:line="1" w:lineRule="exact"/>
        <w:rPr>
          <w:sz w:val="20"/>
          <w:szCs w:val="20"/>
          <w:color w:val="auto"/>
        </w:rPr>
      </w:pPr>
    </w:p>
    <w:p>
      <w:pPr>
        <w:ind w:left="340" w:hanging="332"/>
        <w:spacing w:after="0" w:line="187" w:lineRule="auto"/>
        <w:tabs>
          <w:tab w:leader="none" w:pos="340" w:val="left"/>
        </w:tabs>
        <w:numPr>
          <w:ilvl w:val="0"/>
          <w:numId w:val="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Adjusted net loss is a non-GAAP financial measure. For a reconciliation of net loss to adjusted net loss, see the “Non-GAAP Financial Measures” section and the table captioned “Here Group Limited Unaudited Reconciliation of GAAP and Non-GAAP Results” below.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Cost of revenues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Cost of revenues was RMB107.9 million (US$15.6 million) in the third quarter of FY 2026, primarily composed of costs associated with pop toy products sold.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 expenses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Sales and marketing expenses were RMB57.7 million (US$8.4 million) in the third quarter of FY 2026, primarily consisting of advertising and promotion expenses and staff compensation.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were RMB9.5 million (US$1.4 million) in the third quarter of FY 2026, primarily consisting of IP design and product development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were RMB33.6 million (US$4.9 million) in the third quarter of FY 2026, primarily associated with core corporate functions, including employee compensation, professional service fees, and other operational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and adjusted net loss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loss was RMB34.1 million (US$4.9 million) in the third quarter of FY 2026. Adjusted net loss was RMB22.9 million (US$3.3 million) in the third quarter of FY 2026.</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ordinary share and adjusted net loss per ordinary share</w:t>
      </w:r>
      <w:r>
        <w:rPr>
          <w:rFonts w:ascii="Times New Roman" w:cs="Times New Roman" w:eastAsia="Times New Roman" w:hAnsi="Times New Roman"/>
          <w:sz w:val="29"/>
          <w:szCs w:val="29"/>
          <w:b w:val="1"/>
          <w:bCs w:val="1"/>
          <w:color w:val="auto"/>
          <w:vertAlign w:val="superscript"/>
        </w:rPr>
        <w:t>4</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and diluted net loss per ordinary share were RMB0.21 (US$0.03) in the third quarter of FY 2026. Basic and diluted adjusted net loss per ordinary share were RMB0.14 (US$0.02) in the third quarter of FY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Outlook</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Based on currently available information, the Company expects its revenues to be in the range of RMB130.0 million to RMB140.0 million for the fourth quarter of FY 2026 (which refers to the quarter from April 1, 2026 to June 30, 2026). The Company is revising its revenue guidance from the previously announced range of RMB750.0 million to RMB800.0 million to a new range of RMB600.0 million to RMB610.0 million for FY 2026 (which refers to the year from July 1, 2025 to June 30, 2026). This revision reflects near-term market realities and demonstrates our commitment to providing transparent guidance aligned with current industry conditions. We remain focused on disciplined execution and building a sustainable foundation for long-term growth. The forecasts reflect the Company’s current and preliminary views on the market and its operating conditions, which are subject to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7830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8" w:lineRule="exact"/>
        <w:rPr>
          <w:sz w:val="20"/>
          <w:szCs w:val="20"/>
          <w:color w:val="auto"/>
        </w:rPr>
      </w:pPr>
    </w:p>
    <w:p>
      <w:pPr>
        <w:jc w:val="both"/>
        <w:ind w:left="340" w:hanging="332"/>
        <w:spacing w:after="0" w:line="210" w:lineRule="auto"/>
        <w:tabs>
          <w:tab w:leader="none" w:pos="34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Basic and diluted adjusted net loss per ordinary share are non-GAAP financial measures. For a reconciliation of basic and diluted net loss per ordinary share to basic and diluted adjusted net loss per ordinary share, see the “Non-GAAP Financial Measures” section and the table captioned “Here Group Limited Unaudited Reconciliation of GAAP and Non-GAAP Results” below.</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Share Repurchase Program</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6, 2025, the Company announced that the Board had approved a new share repurchase program of up to US$20.0 million of the Company’s Class A ordinary shares in the form of ADSs for a purchase period beginning on June 11, 2025 and ending on June 30, 2026 (the “2025 Share Repurchase Program”). As of June 1, 2026, a total of 2.3 million ADSs had been repurchased for an aggregate consideration of US$12.8 million under the 2025 Share Repurchase Program.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2026 Share Repurchase Program</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June 5, 2026, the Company announced that the Board had approved a new share repurchase program of up to US$20.0 million of the Company’s Class A ordinary shares in the form of ADSs for a purchase period beginning from July 1, 2026 and ending on June 30, 2027 (the “2026 Share Repurchase Program”). Repurchases under the 2026 Share Repurchase Program may be made from time to time through open market transactions at prevailing market prices, in privately negotiated transactions, in block trades and/or through other legally permissible means. The repurchases will be subject to all applicable rules and regulations, including Rule 10b-18 and Rule 10b5-1 under the Securities Exchange Act of 1934, as amended, as well as the Company’s insider trading policy. The number of ADSs repurchased and the timing of repurchases will also depend on a number of factors, including, but not limited to, price, trading volume and general market conditions, along with the Company’s working capital requirements, general business conditions and other factors. The Board will review the 2026 Share Repurchase Program periodically, and may authorize adjustment of its terms and size or suspend or discontinue the program. The Company plans to fund the repurchases from its existing cash balance.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Information</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management will hold an earnings conference call at 07:00 A.M. Eastern Time on Friday, June 5, 2026 (07:00 P.M. Beijing Time on the same day) to discuss the financial results. Details for the conference call are as follows: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Event Title: Here Group Limited Q3 FY2026 Earnings Call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Pre-register Link: https://dpregister.com/sreg/10209499/10419223c89</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participants may use the link provided above to complete the online registration process in advance of the conference call. Upon registration, each participant will receive an email with a set of participant dial-in numbers, a passcode, and a unique PIN to join the conference call.</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replay will be accessible through June 12, 2026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2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1-412-317-0088</w:t>
            </w: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Toll Free:</w:t>
            </w:r>
          </w:p>
        </w:tc>
        <w:tc>
          <w:tcPr>
            <w:tcW w:w="200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1-855-669-9658</w:t>
            </w:r>
          </w:p>
        </w:tc>
      </w:tr>
      <w:tr>
        <w:trPr>
          <w:trHeight w:val="234"/>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Replay Access Code:</w:t>
            </w:r>
          </w:p>
        </w:tc>
        <w:tc>
          <w:tcPr>
            <w:tcW w:w="200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7245972</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live and archived webcast of the conference call will also be available at the Company’s investor relations website at https://ir.heregroup.com.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the Company’s consolidated financial statements, which are prepared and presented in accordance with U.S. GAAP, the Company uses adjusted net loss and basic and diluted adjusted net loss per ordinary share as its non-GAAP financial measures. Adjusted net loss represents net loss excluding share-based compensation expense. Basic and diluted adjusted net loss per ordinary share represents adjusted net loss attributable to Here Group Limited divided by weighted average number of ordinary shares outstanding during the periods used in computing adjusted net loss per ordinary share, basic and diluted. The Company believes that the non-GAAP financial measures provide useful information about the Company’s results of operations, enhance the overall understanding of the Company’s past performance and future prospects and allow for greater visibility with respect to key metrics used by the Company’s management in its financial and operational decision-making.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non-GAAP financial measures are not defined under U.S. GAAP and are not presented in accordance with U.S. GAAP. The non-GAAP financial measures have limitations as analytical tools, and when assessing the Company’s operating performance, investors should not consider them in isolation, or as a substitute for net loss, net loss per ordinary share, basic and diluted or other consolidated statements of operations data prepared in accordance with U.S. GAAP. The Company’s definition of non-GAAP financial measures may differ from those of industry peers and may not be comparable with their non-GAAP financial measures.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mitigates these limitations by reconciling the non-GAAP financial measures to the most comparable U.S. GAAP performance measures, all of which should be considered when evaluating the Company’s performance. For more information on these non-GAAP financial measures, please see the table captioned “Here Group Limited Unaudited Reconciliation of GAAP and Non-GAAP Results” near the end of this release.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announcement contains translations of certain Renminbi (“RMB”) amounts into U.S. dollars (“US$”) at specified rates solely for the convenience of the reader. Unless otherwise stated, all translations from Renminbi to U.S. dollars were made at the rate of RMB6.8980 to US$1.00, the exchange rate on March 31, 2026, set forth in the H.10 statistical release of the Federal Reserve Board. The Company makes no representation that the Renminbi or U.S. dollars amounts referred to could be converted into U.S. dollars or Renminbi, as the case may be, at any particular rate or at all.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announcement contains forward-looking statements within the meaning of Section 27A of Securities Act of 1933, as amended and Section 21E of the Securities Exchange Act of 1934, as amended and the Private Securities Litigation Reform Act of 1995. All statements other than statements of historical or current fact included in this press release are forward-looking statements, including but not limited to statements regarding the Company’s financial outlook, beliefs and expectations. These statements can be identified by terminology such as “will,” “expects,” “anticipates,” “future,” “intends,” “plans,” “believes,” “estimates,” “potential,” “continue,” “ongoing,” “targets,” “guidance” and similar statements. Among other things, the Financial Outlook in this announcement contains forward-looking statements. The Company may also make written or oral forward-looking statements in its periodic reports to the U.S. Securities and Exchange Commission (the “SEC”), in its annual report to shareholders, in press releases, and other written materials and in oral statements made by its officers, directors or employees to third parties. Forward-looking statements involve inherent risks and uncertainties. A number of factors could cause actual results to differ materially from those contained in any forward-looking statement, including but not limited to the following: the Company’s growth strategies; its future business development, results of operations and financial condition; its ability to attract and retain new consumers and to increase the spending and revenues generated from consumers; its ability to maintain and enhance the recognition and reputation of its brands; its expectations regarding demand for and market acceptance of its services and products; expected growth, future trends and competition in the markets that it operates in; changes in its revenues and certain cost or expense items; PRC governmental policies and regulations relating to its business lines and industries, general economic and political conditions in China and globally, and assumptions underlying or related to any of the foregoing. Further information regarding these and other risks, uncertainties, or factors is included in the Company’s filings with the SEC. You are cautioned not to place undue reliance on these forward-looking statements, which speak only as of the date this press release. All forward-looking statements are qualified in their entirety by this cautionary statement, and the Company undertakes no obligation to revise or update any forward-looking statements to reflect events or circumstances after the date hereof.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Company</w:t>
      </w:r>
    </w:p>
    <w:p>
      <w:pPr>
        <w:spacing w:after="0" w:line="243" w:lineRule="exact"/>
        <w:rPr>
          <w:sz w:val="20"/>
          <w:szCs w:val="20"/>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The Company, through its HERE </w:t>
      </w:r>
      <w:r>
        <w:rPr>
          <w:rFonts w:ascii="SimSun" w:cs="SimSun" w:eastAsia="SimSun" w:hAnsi="SimSun"/>
          <w:sz w:val="18"/>
          <w:szCs w:val="18"/>
          <w:color w:val="auto"/>
        </w:rPr>
        <w:t>奇梦岛</w:t>
      </w:r>
      <w:r>
        <w:rPr>
          <w:rFonts w:ascii="Times New Roman" w:cs="Times New Roman" w:eastAsia="Times New Roman" w:hAnsi="Times New Roman"/>
          <w:sz w:val="18"/>
          <w:szCs w:val="18"/>
          <w:color w:val="auto"/>
        </w:rPr>
        <w:t xml:space="preserve"> brand, creates collectible pop toys that spark joy and inspire global culture. With innovative design and storytelling at its core, the Company delivers immersive experiences that connect deeply with collectors worldwide. Guided by joy, integrity, wonder, and co-creation, the Company is building vibrant cultural ecosystems where fans shape and share dreams.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please visit: https://ir.heregroup.com.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Tina Tang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 Group Limited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ir@heregroup.com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+852 2988-8279</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Robin Yang, Partner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Heregroup.IR@icrinc.com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(212) 537-0429</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HERE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8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448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38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9"/>
              </w:rPr>
              <w:t>June 30,</w:t>
            </w:r>
          </w:p>
        </w:tc>
        <w:tc>
          <w:tcPr>
            <w:tcW w:w="13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45"/>
        </w:trPr>
        <w:tc>
          <w:tcPr>
            <w:tcW w:w="4480" w:type="dxa"/>
            <w:vAlign w:val="bottom"/>
          </w:tcPr>
          <w:p>
            <w:pPr>
              <w:spacing w:after="0"/>
              <w:rPr>
                <w:sz w:val="21"/>
                <w:szCs w:val="21"/>
                <w:color w:val="auto"/>
              </w:rPr>
            </w:pPr>
          </w:p>
        </w:tc>
        <w:tc>
          <w:tcPr>
            <w:tcW w:w="3980" w:type="dxa"/>
            <w:vAlign w:val="bottom"/>
            <w:gridSpan w:val="2"/>
          </w:tcPr>
          <w:p>
            <w:pPr>
              <w:jc w:val="center"/>
              <w:ind w:left="277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r>
      <w:tr>
        <w:trPr>
          <w:trHeight w:val="238"/>
        </w:trPr>
        <w:tc>
          <w:tcPr>
            <w:tcW w:w="4480" w:type="dxa"/>
            <w:vAlign w:val="bottom"/>
          </w:tcPr>
          <w:p>
            <w:pPr>
              <w:spacing w:after="0"/>
              <w:rPr>
                <w:sz w:val="20"/>
                <w:szCs w:val="20"/>
                <w:color w:val="auto"/>
              </w:rPr>
            </w:pPr>
          </w:p>
        </w:tc>
        <w:tc>
          <w:tcPr>
            <w:tcW w:w="284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r>
      <w:tr>
        <w:trPr>
          <w:trHeight w:val="387"/>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472,943</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77,976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11,304</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20,757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Short-term investments</w:t>
            </w:r>
          </w:p>
        </w:tc>
        <w:tc>
          <w:tcPr>
            <w:tcW w:w="4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139,990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591,227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85,710</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29,505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32,484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4,709</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from related parties</w:t>
            </w:r>
          </w:p>
        </w:tc>
        <w:tc>
          <w:tcPr>
            <w:tcW w:w="4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1,577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23,903</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3,465</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 net</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16,229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129,099</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18,715</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4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73,434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121,309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17,587</w:t>
            </w:r>
          </w:p>
        </w:tc>
      </w:tr>
      <w:tr>
        <w:trPr>
          <w:trHeight w:val="237"/>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558,316</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4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1,312,751</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977,090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141,648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4480" w:type="dxa"/>
            <w:vAlign w:val="bottom"/>
          </w:tcPr>
          <w:p>
            <w:pPr>
              <w:spacing w:after="0"/>
              <w:rPr>
                <w:sz w:val="18"/>
                <w:szCs w:val="18"/>
                <w:color w:val="auto"/>
              </w:rPr>
            </w:pPr>
          </w:p>
        </w:tc>
        <w:tc>
          <w:tcPr>
            <w:tcW w:w="2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9,935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20,157</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2,922</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4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65,938</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63,168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9,157</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Long-term investments</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28,254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26,305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3,813</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37,431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5,426</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187,598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187,598</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27,196</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4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1,475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34,676</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5,027</w:t>
            </w:r>
          </w:p>
        </w:tc>
      </w:tr>
      <w:tr>
        <w:trPr>
          <w:trHeight w:val="237"/>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Non-current assets held for sale</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43,064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4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840" w:type="dxa"/>
            <w:vAlign w:val="bottom"/>
            <w:tcBorders>
              <w:top w:val="single" w:sz="8" w:color="CCEEFF"/>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348,768</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369,335</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53,541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r>
      <w:tr>
        <w:trPr>
          <w:trHeight w:val="278"/>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1,661,519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1,346,425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195,189</w:t>
            </w:r>
          </w:p>
        </w:tc>
      </w:tr>
      <w:tr>
        <w:trPr>
          <w:trHeight w:val="216"/>
        </w:trPr>
        <w:tc>
          <w:tcPr>
            <w:tcW w:w="4480" w:type="dxa"/>
            <w:vAlign w:val="bottom"/>
            <w:tcBorders>
              <w:top w:val="single" w:sz="8" w:color="CCEEFF"/>
            </w:tcBorders>
            <w:shd w:val="clear" w:color="auto" w:fill="CCEEFF"/>
          </w:tcPr>
          <w:p>
            <w:pPr>
              <w:spacing w:after="0"/>
              <w:rPr>
                <w:sz w:val="18"/>
                <w:szCs w:val="18"/>
                <w:color w:val="auto"/>
              </w:rPr>
            </w:pPr>
          </w:p>
        </w:tc>
        <w:tc>
          <w:tcPr>
            <w:tcW w:w="284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Short-term borrowings</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11,100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4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57,302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8,307</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66,168</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51,654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7,488</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4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3,321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12,898</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1,870</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payable</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9,440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61,311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8,888</w:t>
            </w: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Contract liabilities</w:t>
            </w:r>
          </w:p>
        </w:tc>
        <w:tc>
          <w:tcPr>
            <w:tcW w:w="4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1,665</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3,155</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457</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 portion</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9,482</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2,352</w:t>
            </w:r>
          </w:p>
        </w:tc>
      </w:tr>
      <w:tr>
        <w:trPr>
          <w:trHeight w:val="249"/>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4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498,516</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614,013</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202,545</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29,362</w:t>
            </w:r>
          </w:p>
        </w:tc>
        <w:tc>
          <w:tcPr>
            <w:tcW w:w="100" w:type="dxa"/>
            <w:vAlign w:val="bottom"/>
            <w:tcBorders>
              <w:top w:val="single" w:sz="8" w:color="CCEEFF"/>
              <w:bottom w:val="single" w:sz="8" w:color="CCEEFF"/>
            </w:tcBorders>
          </w:tcPr>
          <w:p>
            <w:pPr>
              <w:spacing w:after="0"/>
              <w:rPr>
                <w:sz w:val="18"/>
                <w:szCs w:val="18"/>
                <w:color w:val="auto"/>
              </w:rPr>
            </w:pPr>
          </w:p>
        </w:tc>
      </w:tr>
      <w:tr>
        <w:trPr>
          <w:trHeight w:val="216"/>
        </w:trPr>
        <w:tc>
          <w:tcPr>
            <w:tcW w:w="448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8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non-current portion</w:t>
            </w:r>
          </w:p>
        </w:tc>
        <w:tc>
          <w:tcPr>
            <w:tcW w:w="4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4,617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20,102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2,914</w:t>
            </w:r>
          </w:p>
        </w:tc>
      </w:tr>
      <w:tr>
        <w:trPr>
          <w:trHeight w:val="216"/>
        </w:trPr>
        <w:tc>
          <w:tcPr>
            <w:tcW w:w="4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422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72,014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102,134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14,806</w:t>
            </w:r>
          </w:p>
        </w:tc>
      </w:tr>
      <w:tr>
        <w:trPr>
          <w:trHeight w:val="250"/>
        </w:trPr>
        <w:tc>
          <w:tcPr>
            <w:tcW w:w="44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Non-current liabilities held for sale</w:t>
            </w:r>
          </w:p>
        </w:tc>
        <w:tc>
          <w:tcPr>
            <w:tcW w:w="42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37,912</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4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840" w:type="dxa"/>
            <w:vAlign w:val="bottom"/>
            <w:tcBorders>
              <w:top w:val="single" w:sz="8" w:color="CCEEFF"/>
              <w:bottom w:val="single" w:sz="8" w:color="CCEEFF"/>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114,543</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122,236</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17,720</w:t>
            </w:r>
          </w:p>
        </w:tc>
        <w:tc>
          <w:tcPr>
            <w:tcW w:w="100" w:type="dxa"/>
            <w:vAlign w:val="bottom"/>
            <w:tcBorders>
              <w:top w:val="single" w:sz="8" w:color="CCEEFF"/>
              <w:bottom w:val="single" w:sz="8" w:color="CCEEFF"/>
            </w:tcBorders>
          </w:tcPr>
          <w:p>
            <w:pPr>
              <w:spacing w:after="0"/>
              <w:rPr>
                <w:sz w:val="18"/>
                <w:szCs w:val="18"/>
                <w:color w:val="auto"/>
              </w:rPr>
            </w:pPr>
          </w:p>
        </w:tc>
      </w:tr>
      <w:tr>
        <w:trPr>
          <w:trHeight w:val="236"/>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8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728,556</w:t>
            </w:r>
          </w:p>
        </w:tc>
        <w:tc>
          <w:tcPr>
            <w:tcW w:w="2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324,781</w:t>
            </w: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47,082</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642"/>
        </w:trPr>
        <w:tc>
          <w:tcPr>
            <w:tcW w:w="448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5 / 9</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HERE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As of</w:t>
            </w:r>
          </w:p>
        </w:tc>
        <w:tc>
          <w:tcPr>
            <w:tcW w:w="11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2"/>
          </w:tcPr>
          <w:p>
            <w:pPr>
              <w:jc w:val="right"/>
              <w:ind w:right="480"/>
              <w:spacing w:after="0" w:line="194" w:lineRule="exact"/>
              <w:rPr>
                <w:sz w:val="20"/>
                <w:szCs w:val="20"/>
                <w:color w:val="auto"/>
              </w:rPr>
            </w:pPr>
            <w:r>
              <w:rPr>
                <w:rFonts w:ascii="Times New Roman" w:cs="Times New Roman" w:eastAsia="Times New Roman" w:hAnsi="Times New Roman"/>
                <w:sz w:val="18"/>
                <w:szCs w:val="18"/>
                <w:b w:val="1"/>
                <w:bCs w:val="1"/>
                <w:color w:val="auto"/>
              </w:rPr>
              <w:t>June 30,</w:t>
            </w:r>
          </w:p>
        </w:tc>
        <w:tc>
          <w:tcPr>
            <w:tcW w:w="1320" w:type="dxa"/>
            <w:vAlign w:val="bottom"/>
            <w:gridSpan w:val="2"/>
          </w:tcPr>
          <w:p>
            <w:pPr>
              <w:jc w:val="center"/>
              <w:ind w:right="22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Pr>
          <w:p>
            <w:pPr>
              <w:jc w:val="right"/>
              <w:ind w:right="7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RMB</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US$</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MEZZANINE EQUITY</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40,999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221,372</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32,092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Class A ordinary shares</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81</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Class B ordinary shares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(49,054)</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(112,379)</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(16,292)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1,066,860</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893,340</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129,507</w:t>
            </w: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16,507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12,565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1,822</w:t>
            </w: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(Accumulative deficit)/retained earnings</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(225,431)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6,631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961</w:t>
            </w:r>
          </w:p>
        </w:tc>
        <w:tc>
          <w:tcPr>
            <w:tcW w:w="0" w:type="dxa"/>
            <w:vAlign w:val="bottom"/>
          </w:tcPr>
          <w:p>
            <w:pPr>
              <w:spacing w:after="0"/>
              <w:rPr>
                <w:sz w:val="1"/>
                <w:szCs w:val="1"/>
                <w:color w:val="auto"/>
              </w:rPr>
            </w:pPr>
          </w:p>
        </w:tc>
      </w:tr>
      <w:tr>
        <w:trPr>
          <w:trHeight w:val="203"/>
        </w:trPr>
        <w:tc>
          <w:tcPr>
            <w:tcW w:w="732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HERE GROUP LIMITED SHAREHOLDERS’ EQUITY</w:t>
            </w:r>
          </w:p>
        </w:tc>
        <w:tc>
          <w:tcPr>
            <w:tcW w:w="11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808,997</w:t>
            </w:r>
          </w:p>
        </w:tc>
        <w:tc>
          <w:tcPr>
            <w:tcW w:w="2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800,272</w:t>
            </w:r>
          </w:p>
        </w:tc>
        <w:tc>
          <w:tcPr>
            <w:tcW w:w="2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116,015</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82,967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0"/>
        </w:trPr>
        <w:tc>
          <w:tcPr>
            <w:tcW w:w="732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SHAREHOLDERS’ EQUITY</w:t>
            </w:r>
          </w:p>
        </w:tc>
        <w:tc>
          <w:tcPr>
            <w:tcW w:w="1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891,964</w:t>
            </w:r>
          </w:p>
        </w:tc>
        <w:tc>
          <w:tcPr>
            <w:tcW w:w="2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800,272</w:t>
            </w:r>
          </w:p>
        </w:tc>
        <w:tc>
          <w:tcPr>
            <w:tcW w:w="220" w:type="dxa"/>
            <w:vAlign w:val="bottom"/>
            <w:tcBorders>
              <w:top w:val="single" w:sz="8" w:color="CCEEFF"/>
              <w:bottom w:val="single" w:sz="8" w:color="CCEEFF"/>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116,015</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MEZZANINE EQUITY AND SHAREHOLDERS’ EQUITY</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1,661,519</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1,346,425</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195,189</w:t>
            </w:r>
          </w:p>
        </w:tc>
        <w:tc>
          <w:tcPr>
            <w:tcW w:w="0" w:type="dxa"/>
            <w:vAlign w:val="bottom"/>
          </w:tcPr>
          <w:p>
            <w:pPr>
              <w:spacing w:after="0"/>
              <w:rPr>
                <w:sz w:val="1"/>
                <w:szCs w:val="1"/>
                <w:color w:val="auto"/>
              </w:rPr>
            </w:pPr>
          </w:p>
        </w:tc>
      </w:tr>
      <w:tr>
        <w:trPr>
          <w:trHeight w:val="21"/>
        </w:trPr>
        <w:tc>
          <w:tcPr>
            <w:tcW w:w="73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6 / 9</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7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HERE GROUP LIMITED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 CONDENSED CONSOLIDATED STATEMENTS OF OPERATIONS AND COMPREHENSIVE LOSS</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w:t>
      </w:r>
    </w:p>
    <w:p>
      <w:pPr>
        <w:spacing w:after="0" w:line="203"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For the Three Months</w:t>
      </w:r>
    </w:p>
    <w:p>
      <w:pPr>
        <w:spacing w:after="0" w:line="31" w:lineRule="exact"/>
        <w:rPr>
          <w:sz w:val="20"/>
          <w:szCs w:val="20"/>
          <w:color w:val="auto"/>
        </w:rPr>
      </w:pPr>
    </w:p>
    <w:p>
      <w:pPr>
        <w:jc w:val="center"/>
        <w:ind w:left="7200"/>
        <w:spacing w:after="0"/>
        <w:rPr>
          <w:sz w:val="20"/>
          <w:szCs w:val="20"/>
          <w:color w:val="auto"/>
        </w:rPr>
      </w:pPr>
      <w:r>
        <w:rPr>
          <w:rFonts w:ascii="Times New Roman" w:cs="Times New Roman" w:eastAsia="Times New Roman" w:hAnsi="Times New Roman"/>
          <w:sz w:val="18"/>
          <w:szCs w:val="18"/>
          <w:b w:val="1"/>
          <w:bCs w:val="1"/>
          <w:color w:val="auto"/>
        </w:rPr>
        <w:t>Ended</w:t>
      </w:r>
    </w:p>
    <w:p>
      <w:pPr>
        <w:sectPr>
          <w:pgSz w:w="11900" w:h="16838" w:orient="portrait"/>
          <w:cols w:equalWidth="0" w:num="1">
            <w:col w:w="11240"/>
          </w:cols>
          <w:pgMar w:left="320" w:top="90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80" w:hanging="161"/>
        <w:spacing w:after="0" w:line="263"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(including revenues from one related party of RMB9,486 and RMB3,795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December 31, 2025 and March 31, 2026,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2743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180" w:right="240" w:hanging="161"/>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(including related party transaction of RMB2,679 and RMB1,198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December 31, 2025 and March 31, 2026, respectively)</w:t>
      </w: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1"/>
        </w:trPr>
        <w:tc>
          <w:tcPr>
            <w:tcW w:w="1380" w:type="dxa"/>
            <w:vAlign w:val="bottom"/>
            <w:tcBorders>
              <w:top w:val="single" w:sz="8" w:color="auto"/>
            </w:tcBorders>
            <w:gridSpan w:val="2"/>
          </w:tcPr>
          <w:p>
            <w:pPr>
              <w:jc w:val="center"/>
              <w:ind w:right="240"/>
              <w:spacing w:after="0" w:line="201"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320" w:type="dxa"/>
            <w:vAlign w:val="bottom"/>
            <w:tcBorders>
              <w:top w:val="single" w:sz="8" w:color="auto"/>
            </w:tcBorders>
            <w:gridSpan w:val="2"/>
          </w:tcPr>
          <w:p>
            <w:pPr>
              <w:jc w:val="center"/>
              <w:ind w:right="220"/>
              <w:spacing w:after="0" w:line="201"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120" w:type="dxa"/>
            <w:vAlign w:val="bottom"/>
            <w:tcBorders>
              <w:top w:val="single" w:sz="8" w:color="auto"/>
            </w:tcBorders>
          </w:tcPr>
          <w:p>
            <w:pPr>
              <w:jc w:val="center"/>
              <w:spacing w:after="0" w:line="201"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gridSpan w:val="2"/>
          </w:tcPr>
          <w:p>
            <w:pPr>
              <w:spacing w:after="0"/>
              <w:rPr>
                <w:sz w:val="17"/>
                <w:szCs w:val="17"/>
                <w:color w:val="auto"/>
              </w:rPr>
            </w:pPr>
          </w:p>
        </w:tc>
      </w:tr>
      <w:tr>
        <w:trPr>
          <w:trHeight w:val="245"/>
        </w:trPr>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8"/>
        </w:trPr>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60" w:type="dxa"/>
            <w:vAlign w:val="bottom"/>
            <w:gridSpan w:val="2"/>
          </w:tcPr>
          <w:p>
            <w:pPr>
              <w:spacing w:after="0"/>
              <w:rPr>
                <w:sz w:val="20"/>
                <w:szCs w:val="20"/>
                <w:color w:val="auto"/>
              </w:rPr>
            </w:pPr>
          </w:p>
        </w:tc>
      </w:tr>
      <w:tr>
        <w:trPr>
          <w:trHeight w:val="626"/>
        </w:trPr>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177,257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164,744</w:t>
            </w:r>
          </w:p>
        </w:tc>
        <w:tc>
          <w:tcPr>
            <w:tcW w:w="11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23,883</w:t>
            </w:r>
          </w:p>
        </w:tc>
      </w:tr>
      <w:tr>
        <w:trPr>
          <w:trHeight w:val="453"/>
        </w:trPr>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(122,267)</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(107,884)</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(15,640)</w:t>
            </w:r>
          </w:p>
        </w:tc>
      </w:tr>
      <w:tr>
        <w:trPr>
          <w:trHeight w:val="223"/>
        </w:trPr>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54,990</w:t>
            </w:r>
          </w:p>
        </w:tc>
        <w:tc>
          <w:tcPr>
            <w:tcW w:w="2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56,860</w:t>
            </w:r>
          </w:p>
        </w:tc>
        <w:tc>
          <w:tcPr>
            <w:tcW w:w="220" w:type="dxa"/>
            <w:vAlign w:val="bottom"/>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8,243</w:t>
            </w:r>
          </w:p>
        </w:tc>
        <w:tc>
          <w:tcPr>
            <w:tcW w:w="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2">
            <w:col w:w="7200" w:space="120"/>
            <w:col w:w="3920"/>
          </w:cols>
          <w:pgMar w:left="320" w:top="900"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32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Sales and marketing expenses (including related party transaction of RMB1,739 and RMB4,002</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 the three months ended December 31, 2025 and March 31, 2026, respectively)</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(52,844)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(57,722)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(9,066)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(9,452)</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(1,370)</w:t>
            </w:r>
          </w:p>
        </w:tc>
        <w:tc>
          <w:tcPr>
            <w:tcW w:w="0" w:type="dxa"/>
            <w:vAlign w:val="bottom"/>
          </w:tcPr>
          <w:p>
            <w:pPr>
              <w:spacing w:after="0"/>
              <w:rPr>
                <w:sz w:val="1"/>
                <w:szCs w:val="1"/>
                <w:color w:val="auto"/>
              </w:rPr>
            </w:pPr>
          </w:p>
        </w:tc>
      </w:tr>
      <w:tr>
        <w:trPr>
          <w:trHeight w:val="23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(31,295)</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(33,646)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(93,205</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(100,820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(14,616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(38,215)</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(43,960)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(6,373)</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3,633</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3,377</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490</w:t>
            </w:r>
          </w:p>
        </w:tc>
        <w:tc>
          <w:tcPr>
            <w:tcW w:w="0" w:type="dxa"/>
            <w:vAlign w:val="bottom"/>
          </w:tcPr>
          <w:p>
            <w:pPr>
              <w:spacing w:after="0"/>
              <w:rPr>
                <w:sz w:val="1"/>
                <w:szCs w:val="1"/>
                <w:color w:val="auto"/>
              </w:rPr>
            </w:pPr>
          </w:p>
        </w:tc>
      </w:tr>
      <w:tr>
        <w:trPr>
          <w:trHeight w:val="23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Others, net</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9,626</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5,725</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830</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(24,956)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(34,858)</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(5,053)</w:t>
            </w: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Income tax expense</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(458)</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723</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(25,414)</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(34,135)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(4,948)</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attributable to ordinary shareholders of the Company</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(25,414</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(34,135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(4,948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 net loss per ordinary share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Basic</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163,065,311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160,407,252</w:t>
            </w: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160,407,252</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Diluted</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163,065,311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160,407,252</w:t>
            </w: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160,407,252</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Basic</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(0.16)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Diluted</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(0.16)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 net of nil tax</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(1,257)</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(1,595)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0" w:type="dxa"/>
            <w:vAlign w:val="bottom"/>
          </w:tcPr>
          <w:p>
            <w:pPr>
              <w:spacing w:after="0"/>
              <w:rPr>
                <w:sz w:val="1"/>
                <w:szCs w:val="1"/>
                <w:color w:val="auto"/>
              </w:rPr>
            </w:pPr>
          </w:p>
        </w:tc>
      </w:tr>
      <w:tr>
        <w:trPr>
          <w:trHeight w:val="223"/>
        </w:trPr>
        <w:tc>
          <w:tcPr>
            <w:tcW w:w="7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comprehensive loss</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(1,257</w:t>
            </w:r>
          </w:p>
        </w:tc>
        <w:tc>
          <w:tcPr>
            <w:tcW w:w="240" w:type="dxa"/>
            <w:vAlign w:val="bottom"/>
            <w:tcBorders>
              <w:top w:val="single" w:sz="8" w:color="CCEEFF"/>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(1,595</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(26,671)</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(35,730)</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(5,179)</w:t>
            </w:r>
          </w:p>
        </w:tc>
        <w:tc>
          <w:tcPr>
            <w:tcW w:w="0" w:type="dxa"/>
            <w:vAlign w:val="bottom"/>
          </w:tcPr>
          <w:p>
            <w:pPr>
              <w:spacing w:after="0"/>
              <w:rPr>
                <w:sz w:val="1"/>
                <w:szCs w:val="1"/>
                <w:color w:val="auto"/>
              </w:rPr>
            </w:pPr>
          </w:p>
        </w:tc>
      </w:tr>
      <w:tr>
        <w:trPr>
          <w:trHeight w:val="237"/>
        </w:trPr>
        <w:tc>
          <w:tcPr>
            <w:tcW w:w="7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loss attributable to ordinary shareholders of the Company</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(26,671</w:t>
            </w:r>
          </w:p>
        </w:tc>
        <w:tc>
          <w:tcPr>
            <w:tcW w:w="240" w:type="dxa"/>
            <w:vAlign w:val="bottom"/>
            <w:tcBorders>
              <w:top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(35,730</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(5,179</w:t>
            </w:r>
          </w:p>
        </w:tc>
        <w:tc>
          <w:tcPr>
            <w:tcW w:w="1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5460"/>
              <w:spacing w:after="0"/>
              <w:rPr>
                <w:sz w:val="20"/>
                <w:szCs w:val="20"/>
                <w:color w:val="auto"/>
              </w:rPr>
            </w:pPr>
            <w:r>
              <w:rPr>
                <w:rFonts w:ascii="Times New Roman" w:cs="Times New Roman" w:eastAsia="Times New Roman" w:hAnsi="Times New Roman"/>
                <w:sz w:val="18"/>
                <w:szCs w:val="18"/>
                <w:color w:val="auto"/>
              </w:rPr>
              <w:t>7 / 9</w:t>
            </w: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320" w:type="dxa"/>
            <w:vAlign w:val="bottom"/>
            <w:tcBorders>
              <w:bottom w:val="single" w:sz="8" w:color="auto"/>
            </w:tcBorders>
            <w:vMerge w:val="continue"/>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HERE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RECONCILIATION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 and per share data)</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below sets forth a reconciliation of net loss to adjusted net loss and basic and diluted net loss per ordinary share to basic and diluted adjusted net loss per ordinary share for the periods indicated: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282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2"/>
          </w:tcPr>
          <w:p>
            <w:pPr>
              <w:jc w:val="center"/>
              <w:ind w:right="161"/>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3"/>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100" w:type="dxa"/>
            <w:vAlign w:val="bottom"/>
          </w:tcPr>
          <w:p>
            <w:pPr>
              <w:spacing w:after="0"/>
              <w:rPr>
                <w:sz w:val="21"/>
                <w:szCs w:val="2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20"/>
                <w:szCs w:val="20"/>
                <w:color w:val="auto"/>
              </w:rPr>
            </w:pPr>
          </w:p>
        </w:tc>
      </w:tr>
      <w:tr>
        <w:trPr>
          <w:trHeight w:val="194"/>
        </w:trPr>
        <w:tc>
          <w:tcPr>
            <w:tcW w:w="7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(25,414)</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(34,135)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(4,948)</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Share-based compensation expenses</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(9,271)</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(11,202)</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(1,623)</w:t>
            </w:r>
          </w:p>
        </w:tc>
      </w:tr>
      <w:tr>
        <w:trPr>
          <w:trHeight w:val="250"/>
        </w:trPr>
        <w:tc>
          <w:tcPr>
            <w:tcW w:w="7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210"/>
        </w:trPr>
        <w:tc>
          <w:tcPr>
            <w:tcW w:w="732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Adjusted net loss</w:t>
            </w:r>
          </w:p>
        </w:tc>
        <w:tc>
          <w:tcPr>
            <w:tcW w:w="11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(16,143</w:t>
            </w:r>
          </w:p>
        </w:tc>
        <w:tc>
          <w:tcPr>
            <w:tcW w:w="240" w:type="dxa"/>
            <w:vAlign w:val="bottom"/>
            <w:tcBorders>
              <w:bottom w:val="single" w:sz="8" w:color="CCEEFF"/>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(22,933</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(3,325</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50"/>
        </w:trPr>
        <w:tc>
          <w:tcPr>
            <w:tcW w:w="7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 attributable to the Company</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(16,143</w:t>
            </w:r>
          </w:p>
        </w:tc>
        <w:tc>
          <w:tcPr>
            <w:tcW w:w="24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(22,933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0"/>
        </w:trPr>
        <w:tc>
          <w:tcPr>
            <w:tcW w:w="73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 net loss per ordinary share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Basic</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163,065,311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160,407,252</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160,407,252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Diluted</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163,065,311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160,407,252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160,407,252</w:t>
            </w:r>
          </w:p>
        </w:tc>
      </w:tr>
      <w:tr>
        <w:trPr>
          <w:trHeight w:val="194"/>
        </w:trPr>
        <w:tc>
          <w:tcPr>
            <w:tcW w:w="73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ordinary shares used in computing adjusted net loss per</w:t>
            </w:r>
          </w:p>
        </w:tc>
        <w:tc>
          <w:tcPr>
            <w:tcW w:w="1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ordinary share</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Basic</w:t>
            </w:r>
          </w:p>
        </w:tc>
        <w:tc>
          <w:tcPr>
            <w:tcW w:w="1380" w:type="dxa"/>
            <w:vAlign w:val="bottom"/>
            <w:gridSpan w:val="2"/>
            <w:shd w:val="clear" w:color="auto" w:fill="CCEEFF"/>
          </w:tcPr>
          <w:p>
            <w:pPr>
              <w:jc w:val="right"/>
              <w:ind w:right="161"/>
              <w:spacing w:after="0"/>
              <w:rPr>
                <w:sz w:val="20"/>
                <w:szCs w:val="20"/>
                <w:color w:val="auto"/>
              </w:rPr>
            </w:pPr>
            <w:r>
              <w:rPr>
                <w:rFonts w:ascii="Times New Roman" w:cs="Times New Roman" w:eastAsia="Times New Roman" w:hAnsi="Times New Roman"/>
                <w:sz w:val="18"/>
                <w:szCs w:val="18"/>
                <w:color w:val="auto"/>
              </w:rPr>
              <w:t>163,065,311</w:t>
            </w:r>
          </w:p>
        </w:tc>
        <w:tc>
          <w:tcPr>
            <w:tcW w:w="13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160,407,252</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160,407,252</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Diluted</w:t>
            </w:r>
          </w:p>
        </w:tc>
        <w:tc>
          <w:tcPr>
            <w:tcW w:w="138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163,065,311</w:t>
            </w:r>
          </w:p>
        </w:tc>
        <w:tc>
          <w:tcPr>
            <w:tcW w:w="13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160,407,252</w:t>
            </w:r>
          </w:p>
        </w:tc>
        <w:tc>
          <w:tcPr>
            <w:tcW w:w="120" w:type="dxa"/>
            <w:vAlign w:val="bottom"/>
          </w:tcPr>
          <w:p>
            <w:pPr>
              <w:spacing w:after="0"/>
              <w:rPr>
                <w:sz w:val="18"/>
                <w:szCs w:val="18"/>
                <w:color w:val="auto"/>
              </w:rPr>
            </w:pPr>
          </w:p>
        </w:tc>
        <w:tc>
          <w:tcPr>
            <w:tcW w:w="11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160,407,252</w:t>
            </w:r>
          </w:p>
        </w:tc>
      </w:tr>
      <w:tr>
        <w:trPr>
          <w:trHeight w:val="216"/>
        </w:trPr>
        <w:tc>
          <w:tcPr>
            <w:tcW w:w="7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Basic</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(0.16)</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Diluted</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(0.16)</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net loss per ordinary share</w:t>
            </w: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Basic</w:t>
            </w:r>
          </w:p>
        </w:tc>
        <w:tc>
          <w:tcPr>
            <w:tcW w:w="13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7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 Diluted</w:t>
            </w:r>
          </w:p>
        </w:tc>
        <w:tc>
          <w:tcPr>
            <w:tcW w:w="138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8"/>
                <w:szCs w:val="18"/>
                <w:color w:val="auto"/>
              </w:rPr>
              <w:t>(0.10)</w:t>
            </w:r>
          </w:p>
        </w:tc>
        <w:tc>
          <w:tcPr>
            <w:tcW w:w="13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655"/>
        </w:trPr>
        <w:tc>
          <w:tcPr>
            <w:tcW w:w="7320" w:type="dxa"/>
            <w:vAlign w:val="bottom"/>
            <w:tcBorders>
              <w:bottom w:val="single" w:sz="8" w:color="auto"/>
            </w:tcBorders>
          </w:tcPr>
          <w:p>
            <w:pPr>
              <w:ind w:left="5460"/>
              <w:spacing w:after="0"/>
              <w:rPr>
                <w:sz w:val="20"/>
                <w:szCs w:val="20"/>
                <w:color w:val="auto"/>
              </w:rPr>
            </w:pPr>
            <w:r>
              <w:rPr>
                <w:rFonts w:ascii="Times New Roman" w:cs="Times New Roman" w:eastAsia="Times New Roman" w:hAnsi="Times New Roman"/>
                <w:sz w:val="18"/>
                <w:szCs w:val="18"/>
                <w:color w:val="auto"/>
              </w:rPr>
              <w:t>8 / 9</w:t>
            </w: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HERE GROUP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ADDITIONAL INFORMATION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(Amounts in thousands, except for shares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below sets forth a breakdown of revenue by IPs for the periods indicated:</w:t>
            </w:r>
          </w:p>
        </w:tc>
        <w:tc>
          <w:tcPr>
            <w:tcW w:w="1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0"/>
        </w:trPr>
        <w:tc>
          <w:tcPr>
            <w:tcW w:w="7320" w:type="dxa"/>
            <w:vAlign w:val="bottom"/>
          </w:tcPr>
          <w:p>
            <w:pPr>
              <w:spacing w:after="0"/>
              <w:rPr>
                <w:sz w:val="24"/>
                <w:szCs w:val="24"/>
                <w:color w:val="auto"/>
              </w:rPr>
            </w:pPr>
          </w:p>
        </w:tc>
        <w:tc>
          <w:tcPr>
            <w:tcW w:w="2820" w:type="dxa"/>
            <w:vAlign w:val="bottom"/>
            <w:gridSpan w:val="5"/>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For the Three Months</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7320" w:type="dxa"/>
            <w:vAlign w:val="bottom"/>
          </w:tcPr>
          <w:p>
            <w:pPr>
              <w:spacing w:after="0"/>
              <w:rPr>
                <w:sz w:val="16"/>
                <w:szCs w:val="16"/>
                <w:color w:val="auto"/>
              </w:rPr>
            </w:pPr>
          </w:p>
        </w:tc>
        <w:tc>
          <w:tcPr>
            <w:tcW w:w="1380" w:type="dxa"/>
            <w:vAlign w:val="bottom"/>
            <w:gridSpan w:val="2"/>
          </w:tcPr>
          <w:p>
            <w:pPr>
              <w:jc w:val="center"/>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3"/>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00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gridSpan w:val="2"/>
          </w:tcPr>
          <w:p>
            <w:pPr>
              <w:spacing w:after="0"/>
              <w:rPr>
                <w:sz w:val="16"/>
                <w:szCs w:val="16"/>
                <w:color w:val="auto"/>
              </w:rPr>
            </w:pPr>
          </w:p>
        </w:tc>
      </w:tr>
      <w:tr>
        <w:trPr>
          <w:trHeight w:val="245"/>
        </w:trPr>
        <w:tc>
          <w:tcPr>
            <w:tcW w:w="73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73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gridSpan w:val="2"/>
          </w:tcPr>
          <w:p>
            <w:pPr>
              <w:spacing w:after="0"/>
              <w:rPr>
                <w:sz w:val="20"/>
                <w:szCs w:val="20"/>
                <w:color w:val="auto"/>
              </w:rPr>
            </w:pPr>
          </w:p>
        </w:tc>
      </w:tr>
      <w:tr>
        <w:trPr>
          <w:trHeight w:val="4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WAKUKU</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129,414</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102,404</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14,845</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ZIYULI</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9,504</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14,300</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2,073</w:t>
            </w:r>
          </w:p>
        </w:tc>
        <w:tc>
          <w:tcPr>
            <w:tcW w:w="8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SIINONO</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19,229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33,293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4,826</w:t>
            </w:r>
          </w:p>
        </w:tc>
        <w:tc>
          <w:tcPr>
            <w:tcW w:w="80" w:type="dxa"/>
            <w:vAlign w:val="bottom"/>
            <w:shd w:val="clear" w:color="auto" w:fill="CCEEFF"/>
          </w:tcPr>
          <w:p>
            <w:pPr>
              <w:spacing w:after="0"/>
              <w:rPr>
                <w:sz w:val="18"/>
                <w:szCs w:val="18"/>
                <w:color w:val="auto"/>
              </w:rPr>
            </w:pPr>
          </w:p>
        </w:tc>
      </w:tr>
      <w:tr>
        <w:trPr>
          <w:trHeight w:val="277"/>
        </w:trPr>
        <w:tc>
          <w:tcPr>
            <w:tcW w:w="732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Others</w:t>
            </w:r>
            <w:r>
              <w:rPr>
                <w:rFonts w:ascii="Times New Roman" w:cs="Times New Roman" w:eastAsia="Times New Roman" w:hAnsi="Times New Roman"/>
                <w:sz w:val="29"/>
                <w:szCs w:val="29"/>
                <w:color w:val="auto"/>
                <w:vertAlign w:val="superscript"/>
              </w:rPr>
              <w:t>(1)</w:t>
            </w: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19,110</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14,747</w:t>
            </w:r>
          </w:p>
        </w:tc>
        <w:tc>
          <w:tcPr>
            <w:tcW w:w="120" w:type="dxa"/>
            <w:vAlign w:val="bottom"/>
          </w:tcPr>
          <w:p>
            <w:pPr>
              <w:spacing w:after="0"/>
              <w:rPr>
                <w:sz w:val="24"/>
                <w:szCs w:val="24"/>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2,139</w:t>
            </w:r>
          </w:p>
        </w:tc>
        <w:tc>
          <w:tcPr>
            <w:tcW w:w="80" w:type="dxa"/>
            <w:vAlign w:val="bottom"/>
          </w:tcPr>
          <w:p>
            <w:pPr>
              <w:spacing w:after="0"/>
              <w:rPr>
                <w:sz w:val="24"/>
                <w:szCs w:val="24"/>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7320" w:type="dxa"/>
            <w:vAlign w:val="bottom"/>
          </w:tcPr>
          <w:p>
            <w:pPr>
              <w:spacing w:after="0"/>
              <w:rPr>
                <w:sz w:val="22"/>
                <w:szCs w:val="22"/>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177,257</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164,744</w:t>
            </w:r>
          </w:p>
        </w:tc>
        <w:tc>
          <w:tcPr>
            <w:tcW w:w="120" w:type="dxa"/>
            <w:vAlign w:val="bottom"/>
          </w:tcPr>
          <w:p>
            <w:pPr>
              <w:spacing w:after="0"/>
              <w:rPr>
                <w:sz w:val="22"/>
                <w:szCs w:val="22"/>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23,883</w:t>
            </w:r>
          </w:p>
        </w:tc>
        <w:tc>
          <w:tcPr>
            <w:tcW w:w="80" w:type="dxa"/>
            <w:vAlign w:val="bottom"/>
          </w:tcPr>
          <w:p>
            <w:pPr>
              <w:spacing w:after="0"/>
              <w:rPr>
                <w:sz w:val="22"/>
                <w:szCs w:val="22"/>
                <w:color w:val="auto"/>
              </w:rPr>
            </w:pPr>
          </w:p>
        </w:tc>
      </w:tr>
      <w:tr>
        <w:trPr>
          <w:trHeight w:val="21"/>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refers to revenue generated from all other IPs, such as “MEMIMO”, “FUNII”, “FIILA”, “impopo pix” and “YEAOHUA”, and other revenues, aggregated and presented as “Others”.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3"/>
      <w:numFmt w:val="bullet"/>
      <w:start w:val="1"/>
    </w:lvl>
  </w:abstractNum>
  <w:abstractNum w:abstractNumId="4">
    <w:nsid w:val="3D1B58BA"/>
    <w:multiLevelType w:val="hybridMultilevel"/>
    <w:lvl w:ilvl="0">
      <w:lvlJc w:val="left"/>
      <w:lvlText w:val="4"/>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2026-06-05T05:15:38Z</dcterms:created>
  <dcterms:modified xsi:type="dcterms:W3CDTF">2026-06-05T05:15:38Z</dcterms:modified>
</cp:coreProperties>
</file>